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E192" w14:textId="77777777" w:rsidR="006508D8" w:rsidRDefault="00000000">
      <w:pPr>
        <w:spacing w:after="50"/>
      </w:pPr>
      <w:r>
        <w:rPr>
          <w:rFonts w:ascii="Arial" w:eastAsia="Arial" w:hAnsi="Arial" w:cs="Arial"/>
          <w:b/>
          <w:bCs/>
          <w:color w:val="1B3A5C"/>
          <w:sz w:val="38"/>
          <w:szCs w:val="38"/>
        </w:rPr>
        <w:t>Patricia Soledad Flores Sánchez</w:t>
      </w:r>
    </w:p>
    <w:p w14:paraId="43E17EC6" w14:textId="13B2589D" w:rsidR="006508D8" w:rsidRDefault="00000000">
      <w:pPr>
        <w:spacing w:after="55"/>
      </w:pPr>
      <w:r>
        <w:rPr>
          <w:rFonts w:ascii="Arial" w:eastAsia="Arial" w:hAnsi="Arial" w:cs="Arial"/>
          <w:b/>
          <w:bCs/>
          <w:color w:val="3A3A3A"/>
          <w:sz w:val="21"/>
          <w:szCs w:val="21"/>
        </w:rPr>
        <w:t xml:space="preserve">Gerente / </w:t>
      </w:r>
      <w:proofErr w:type="gramStart"/>
      <w:r>
        <w:rPr>
          <w:rFonts w:ascii="Arial" w:eastAsia="Arial" w:hAnsi="Arial" w:cs="Arial"/>
          <w:b/>
          <w:bCs/>
          <w:color w:val="3A3A3A"/>
          <w:sz w:val="21"/>
          <w:szCs w:val="21"/>
        </w:rPr>
        <w:t>Jefa</w:t>
      </w:r>
      <w:proofErr w:type="gramEnd"/>
      <w:r>
        <w:rPr>
          <w:rFonts w:ascii="Arial" w:eastAsia="Arial" w:hAnsi="Arial" w:cs="Arial"/>
          <w:b/>
          <w:bCs/>
          <w:color w:val="3A3A3A"/>
          <w:sz w:val="21"/>
          <w:szCs w:val="21"/>
        </w:rPr>
        <w:t xml:space="preserve"> de Operaciones Financieras | Sector Financiero y Microfinanzas</w:t>
      </w:r>
    </w:p>
    <w:p w14:paraId="3CC93883" w14:textId="77777777" w:rsidR="006508D8" w:rsidRDefault="00000000" w:rsidP="00F90625">
      <w:pPr>
        <w:spacing w:after="180"/>
        <w:jc w:val="both"/>
      </w:pPr>
      <w:r>
        <w:rPr>
          <w:rFonts w:ascii="Arial" w:eastAsia="Arial" w:hAnsi="Arial" w:cs="Arial"/>
          <w:color w:val="666666"/>
          <w:sz w:val="17"/>
          <w:szCs w:val="17"/>
        </w:rPr>
        <w:t>Correo: patricflorsanchez@gmail.com   |   Tel.: +593 99 469 8405   |   LinkedIn: linkedin.com/in/patricia-soledad-flores-sanchez-43b84418   |   Loja, Ecuador</w:t>
      </w:r>
    </w:p>
    <w:p w14:paraId="0E89D77A" w14:textId="77777777" w:rsidR="006508D8" w:rsidRDefault="00000000">
      <w:pPr>
        <w:pBdr>
          <w:bottom w:val="single" w:sz="8" w:space="3" w:color="1B3A5C"/>
        </w:pBdr>
        <w:spacing w:before="260" w:after="70"/>
      </w:pPr>
      <w:r>
        <w:rPr>
          <w:rFonts w:ascii="Arial" w:eastAsia="Arial" w:hAnsi="Arial" w:cs="Arial"/>
          <w:b/>
          <w:bCs/>
          <w:color w:val="1B3A5C"/>
        </w:rPr>
        <w:t>PERFIL PROFESIONAL</w:t>
      </w:r>
    </w:p>
    <w:p w14:paraId="591C2DA6" w14:textId="77777777" w:rsidR="006508D8" w:rsidRDefault="00000000" w:rsidP="00543495">
      <w:pPr>
        <w:spacing w:before="50" w:after="50"/>
        <w:jc w:val="both"/>
      </w:pPr>
      <w:r>
        <w:rPr>
          <w:rFonts w:ascii="Arial" w:eastAsia="Arial" w:hAnsi="Arial" w:cs="Arial"/>
          <w:color w:val="3A3A3A"/>
          <w:sz w:val="18"/>
          <w:szCs w:val="18"/>
        </w:rPr>
        <w:t>Ejecutiva financiera con más de 22 años de trayectoria en banca y microfinanzas. Máster en Dirección y Planificación Financiera (España, 2021 — reconocido por la SENECYT, Ecuador, 2023). Especialista en gestión operativa, transformación digital de procesos, control interno y liderazgo de equipos multidisciplinarios. Actualmente lidera la operatividad de 26 agencias a nivel nacional con un equipo de 48 personas: gestión operativa de aproximadamente 1.500 operaciones de microcrédito por un monto de USD 5 millones mensuales, y coordinación de la recaudación de cerca de 28.000 clientes por un monto equivalente a través de canales internos y externos. Calificación de gestión: 9/10 — Excelente en cuatro trimestres consecutivos.</w:t>
      </w:r>
    </w:p>
    <w:p w14:paraId="29101A57" w14:textId="77777777" w:rsidR="006508D8" w:rsidRDefault="00000000">
      <w:pPr>
        <w:pBdr>
          <w:bottom w:val="single" w:sz="8" w:space="3" w:color="1B3A5C"/>
        </w:pBdr>
        <w:spacing w:before="260" w:after="70"/>
      </w:pPr>
      <w:r>
        <w:rPr>
          <w:rFonts w:ascii="Arial" w:eastAsia="Arial" w:hAnsi="Arial" w:cs="Arial"/>
          <w:b/>
          <w:bCs/>
          <w:color w:val="1B3A5C"/>
        </w:rPr>
        <w:t>EXPERIENCIA PROFESIONAL</w:t>
      </w:r>
    </w:p>
    <w:p w14:paraId="69CF37B2" w14:textId="77777777" w:rsidR="006508D8" w:rsidRDefault="00000000">
      <w:pPr>
        <w:tabs>
          <w:tab w:val="right" w:pos="9200"/>
        </w:tabs>
        <w:spacing w:before="200" w:after="25"/>
      </w:pPr>
      <w:r>
        <w:rPr>
          <w:rFonts w:ascii="Arial" w:eastAsia="Arial" w:hAnsi="Arial" w:cs="Arial"/>
          <w:b/>
          <w:bCs/>
          <w:color w:val="1B3A5C"/>
          <w:sz w:val="21"/>
          <w:szCs w:val="21"/>
        </w:rPr>
        <w:t>Jefa de Operaciones</w:t>
      </w:r>
      <w:r>
        <w:rPr>
          <w:rFonts w:ascii="Arial" w:eastAsia="Arial" w:hAnsi="Arial" w:cs="Arial"/>
          <w:i/>
          <w:iCs/>
          <w:color w:val="666666"/>
          <w:sz w:val="18"/>
          <w:szCs w:val="18"/>
        </w:rPr>
        <w:tab/>
      </w:r>
      <w:proofErr w:type="gramStart"/>
      <w:r>
        <w:rPr>
          <w:rFonts w:ascii="Arial" w:eastAsia="Arial" w:hAnsi="Arial" w:cs="Arial"/>
          <w:i/>
          <w:iCs/>
          <w:color w:val="666666"/>
          <w:sz w:val="18"/>
          <w:szCs w:val="18"/>
        </w:rPr>
        <w:t>Abr.</w:t>
      </w:r>
      <w:proofErr w:type="gramEnd"/>
      <w:r>
        <w:rPr>
          <w:rFonts w:ascii="Arial" w:eastAsia="Arial" w:hAnsi="Arial" w:cs="Arial"/>
          <w:i/>
          <w:iCs/>
          <w:color w:val="666666"/>
          <w:sz w:val="18"/>
          <w:szCs w:val="18"/>
        </w:rPr>
        <w:t xml:space="preserve"> 2022 – Presente</w:t>
      </w:r>
    </w:p>
    <w:p w14:paraId="4D989B6E" w14:textId="221B3ACF" w:rsidR="006508D8" w:rsidRDefault="00000000">
      <w:pPr>
        <w:spacing w:after="50"/>
      </w:pPr>
      <w:r>
        <w:rPr>
          <w:rFonts w:ascii="Arial" w:eastAsia="Arial" w:hAnsi="Arial" w:cs="Arial"/>
          <w:color w:val="3A3A3A"/>
          <w:sz w:val="18"/>
          <w:szCs w:val="18"/>
        </w:rPr>
        <w:t>Fundación FACES Microfinanzas   Loja, Ecuador</w:t>
      </w:r>
    </w:p>
    <w:p w14:paraId="728F96C9" w14:textId="77777777" w:rsidR="006508D8" w:rsidRDefault="00000000" w:rsidP="00543495">
      <w:pPr>
        <w:pStyle w:val="Prrafodelista"/>
        <w:numPr>
          <w:ilvl w:val="0"/>
          <w:numId w:val="2"/>
        </w:numPr>
        <w:spacing w:before="35" w:after="35"/>
        <w:jc w:val="both"/>
      </w:pPr>
      <w:r>
        <w:rPr>
          <w:rFonts w:ascii="Arial" w:eastAsia="Arial" w:hAnsi="Arial" w:cs="Arial"/>
          <w:color w:val="3A3A3A"/>
          <w:sz w:val="18"/>
          <w:szCs w:val="18"/>
        </w:rPr>
        <w:t>Cumplimiento del POA: 98 % (Q2 2025) | 96 % (Q3 2025) | 100 % (Q4 2025) | 105 % (Q1 2026).</w:t>
      </w:r>
    </w:p>
    <w:p w14:paraId="09989655" w14:textId="77777777" w:rsidR="006508D8" w:rsidRDefault="00000000" w:rsidP="00543495">
      <w:pPr>
        <w:pStyle w:val="Prrafodelista"/>
        <w:numPr>
          <w:ilvl w:val="0"/>
          <w:numId w:val="2"/>
        </w:numPr>
        <w:spacing w:before="35" w:after="35"/>
        <w:jc w:val="both"/>
      </w:pPr>
      <w:r>
        <w:rPr>
          <w:rFonts w:ascii="Arial" w:eastAsia="Arial" w:hAnsi="Arial" w:cs="Arial"/>
          <w:color w:val="3A3A3A"/>
          <w:sz w:val="18"/>
          <w:szCs w:val="18"/>
        </w:rPr>
        <w:t>Lideró la transformación digital del área: desembolsos por transferencia bancaria (47,80 % del monto total en Q1 2026), integración de APIs bancarias y digitalización de expedientes de crédito y pagarés en 13 agencias.</w:t>
      </w:r>
    </w:p>
    <w:p w14:paraId="3DCBF15A" w14:textId="77777777" w:rsidR="006508D8" w:rsidRDefault="00000000" w:rsidP="00543495">
      <w:pPr>
        <w:pStyle w:val="Prrafodelista"/>
        <w:numPr>
          <w:ilvl w:val="0"/>
          <w:numId w:val="2"/>
        </w:numPr>
        <w:spacing w:before="35" w:after="35"/>
        <w:jc w:val="both"/>
      </w:pPr>
      <w:r>
        <w:rPr>
          <w:rFonts w:ascii="Arial" w:eastAsia="Arial" w:hAnsi="Arial" w:cs="Arial"/>
          <w:color w:val="3A3A3A"/>
          <w:sz w:val="18"/>
          <w:szCs w:val="18"/>
        </w:rPr>
        <w:t>Redujo los requerimientos de soporte desde la Dirección en un 74 % — de 1.489 (Q2 2025) a 382 (Q3 2025) — mediante la descentralización de procesos hacia las agencias.</w:t>
      </w:r>
    </w:p>
    <w:p w14:paraId="53F6E58E" w14:textId="77777777" w:rsidR="006508D8" w:rsidRDefault="00000000" w:rsidP="00543495">
      <w:pPr>
        <w:pStyle w:val="Prrafodelista"/>
        <w:numPr>
          <w:ilvl w:val="0"/>
          <w:numId w:val="2"/>
        </w:numPr>
        <w:spacing w:before="35" w:after="35"/>
        <w:jc w:val="both"/>
      </w:pPr>
      <w:r>
        <w:rPr>
          <w:rFonts w:ascii="Arial" w:eastAsia="Arial" w:hAnsi="Arial" w:cs="Arial"/>
          <w:color w:val="3A3A3A"/>
          <w:sz w:val="18"/>
          <w:szCs w:val="18"/>
        </w:rPr>
        <w:t>Automatizó el proceso del seguro de desgravamen: cálculo de prima, conciliación mensual y liquidación de siniestros con asientos contables automatizados; tiempo de atención reducido de 17 a 10 días.</w:t>
      </w:r>
    </w:p>
    <w:p w14:paraId="41D16CF3" w14:textId="77777777" w:rsidR="006508D8" w:rsidRDefault="00000000" w:rsidP="00543495">
      <w:pPr>
        <w:pStyle w:val="Prrafodelista"/>
        <w:numPr>
          <w:ilvl w:val="0"/>
          <w:numId w:val="2"/>
        </w:numPr>
        <w:spacing w:before="35" w:after="35"/>
        <w:jc w:val="both"/>
      </w:pPr>
      <w:r>
        <w:rPr>
          <w:rFonts w:ascii="Arial" w:eastAsia="Arial" w:hAnsi="Arial" w:cs="Arial"/>
          <w:color w:val="3A3A3A"/>
          <w:sz w:val="18"/>
          <w:szCs w:val="18"/>
        </w:rPr>
        <w:t>Implementó la Matriz de Supervisión y Certificación de Procesos por agencia: el índice de cumplimiento operativo aumentó del 65 % al 88 % a nivel nacional.</w:t>
      </w:r>
    </w:p>
    <w:p w14:paraId="1A4D837E" w14:textId="77777777" w:rsidR="006508D8" w:rsidRDefault="00000000" w:rsidP="00543495">
      <w:pPr>
        <w:pStyle w:val="Prrafodelista"/>
        <w:numPr>
          <w:ilvl w:val="0"/>
          <w:numId w:val="2"/>
        </w:numPr>
        <w:spacing w:before="35" w:after="35"/>
        <w:jc w:val="both"/>
      </w:pPr>
      <w:r>
        <w:rPr>
          <w:rFonts w:ascii="Arial" w:eastAsia="Arial" w:hAnsi="Arial" w:cs="Arial"/>
          <w:color w:val="3A3A3A"/>
          <w:sz w:val="18"/>
          <w:szCs w:val="18"/>
        </w:rPr>
        <w:t>Redujo los tiempos de desembolso a 1,68 días (Q3 2025, mejor resultado del año). Meta institucional: máximo 2 días.</w:t>
      </w:r>
    </w:p>
    <w:p w14:paraId="2ABA2AC1" w14:textId="77777777" w:rsidR="006508D8" w:rsidRDefault="00000000" w:rsidP="00543495">
      <w:pPr>
        <w:pStyle w:val="Prrafodelista"/>
        <w:numPr>
          <w:ilvl w:val="0"/>
          <w:numId w:val="2"/>
        </w:numPr>
        <w:spacing w:before="35" w:after="35"/>
        <w:jc w:val="both"/>
      </w:pPr>
      <w:r>
        <w:rPr>
          <w:rFonts w:ascii="Arial" w:eastAsia="Arial" w:hAnsi="Arial" w:cs="Arial"/>
          <w:color w:val="3A3A3A"/>
          <w:sz w:val="18"/>
          <w:szCs w:val="18"/>
        </w:rPr>
        <w:t>Efectividad de recuperación de mora: 90,60 % (Q1 2026) — USD 3,06 M recuperados sobre USD 3,37 M en mora, gestionados por el equipo operativo bajo su supervisión directa.</w:t>
      </w:r>
    </w:p>
    <w:p w14:paraId="4306E782" w14:textId="77777777" w:rsidR="006508D8" w:rsidRDefault="00000000" w:rsidP="00543495">
      <w:pPr>
        <w:pStyle w:val="Prrafodelista"/>
        <w:numPr>
          <w:ilvl w:val="0"/>
          <w:numId w:val="2"/>
        </w:numPr>
        <w:spacing w:before="35" w:after="35"/>
        <w:jc w:val="both"/>
      </w:pPr>
      <w:r>
        <w:rPr>
          <w:rFonts w:ascii="Arial" w:eastAsia="Arial" w:hAnsi="Arial" w:cs="Arial"/>
          <w:color w:val="3A3A3A"/>
          <w:sz w:val="18"/>
          <w:szCs w:val="18"/>
        </w:rPr>
        <w:t>Redujo el índice de rotación del área del 41,46 % (dic. 2022) al 10,24 % (mar. 2026): disminución del 75 % en menos de cuatro años, mediante incremento salarial negociado al inicio de su gestión, remuneración variable, evaluación trimestral de desempeño y programa de certificación de 60 horas para Asistentes de Caja como plan de carrera.</w:t>
      </w:r>
    </w:p>
    <w:p w14:paraId="7AEC454F" w14:textId="77777777" w:rsidR="006508D8" w:rsidRDefault="00000000" w:rsidP="00543495">
      <w:pPr>
        <w:pStyle w:val="Prrafodelista"/>
        <w:numPr>
          <w:ilvl w:val="0"/>
          <w:numId w:val="2"/>
        </w:numPr>
        <w:spacing w:before="35" w:after="35"/>
        <w:jc w:val="both"/>
      </w:pPr>
      <w:r>
        <w:rPr>
          <w:rFonts w:ascii="Arial" w:eastAsia="Arial" w:hAnsi="Arial" w:cs="Arial"/>
          <w:color w:val="3A3A3A"/>
          <w:sz w:val="18"/>
          <w:szCs w:val="18"/>
        </w:rPr>
        <w:t>Participa en comités estratégicos, auditorías internas y externas, y representación institucional ante organismos financieros internacionales de desarrollo.</w:t>
      </w:r>
    </w:p>
    <w:p w14:paraId="552BD4CB" w14:textId="77777777" w:rsidR="006508D8" w:rsidRDefault="006508D8">
      <w:pPr>
        <w:spacing w:before="50"/>
      </w:pPr>
    </w:p>
    <w:p w14:paraId="0D8F5B92" w14:textId="77777777" w:rsidR="006508D8" w:rsidRDefault="00000000">
      <w:pPr>
        <w:tabs>
          <w:tab w:val="right" w:pos="9200"/>
        </w:tabs>
        <w:spacing w:before="200" w:after="25"/>
      </w:pPr>
      <w:r>
        <w:rPr>
          <w:rFonts w:ascii="Arial" w:eastAsia="Arial" w:hAnsi="Arial" w:cs="Arial"/>
          <w:b/>
          <w:bCs/>
          <w:color w:val="1B3A5C"/>
          <w:sz w:val="21"/>
          <w:szCs w:val="21"/>
        </w:rPr>
        <w:t>Supervisora de Operaciones</w:t>
      </w:r>
      <w:r>
        <w:rPr>
          <w:rFonts w:ascii="Arial" w:eastAsia="Arial" w:hAnsi="Arial" w:cs="Arial"/>
          <w:i/>
          <w:iCs/>
          <w:color w:val="666666"/>
          <w:sz w:val="18"/>
          <w:szCs w:val="18"/>
        </w:rPr>
        <w:tab/>
        <w:t>Feb. 2021 – Mar. 2022</w:t>
      </w:r>
    </w:p>
    <w:p w14:paraId="4FB8B220" w14:textId="1E3D8404" w:rsidR="006508D8" w:rsidRDefault="00000000">
      <w:pPr>
        <w:spacing w:after="50"/>
      </w:pPr>
      <w:r>
        <w:rPr>
          <w:rFonts w:ascii="Arial" w:eastAsia="Arial" w:hAnsi="Arial" w:cs="Arial"/>
          <w:color w:val="3A3A3A"/>
          <w:sz w:val="18"/>
          <w:szCs w:val="18"/>
        </w:rPr>
        <w:t>Fundación FACES Microfinanzas | Loja, Ecuador</w:t>
      </w:r>
    </w:p>
    <w:p w14:paraId="7B965767" w14:textId="77777777" w:rsidR="006508D8" w:rsidRDefault="00000000" w:rsidP="00543495">
      <w:pPr>
        <w:pStyle w:val="Prrafodelista"/>
        <w:numPr>
          <w:ilvl w:val="0"/>
          <w:numId w:val="2"/>
        </w:numPr>
        <w:spacing w:before="35" w:after="35"/>
        <w:jc w:val="both"/>
      </w:pPr>
      <w:r>
        <w:rPr>
          <w:rFonts w:ascii="Arial" w:eastAsia="Arial" w:hAnsi="Arial" w:cs="Arial"/>
          <w:color w:val="3A3A3A"/>
          <w:sz w:val="18"/>
          <w:szCs w:val="18"/>
        </w:rPr>
        <w:t>Supervisó las operaciones de 18 agencias a nivel nacional. Regularizó el proceso del seguro de desgravamen con pagos pendientes desde enero de 2021, construyendo desde cero las bases de cálculo de prima que no existían en la institución.</w:t>
      </w:r>
    </w:p>
    <w:p w14:paraId="51A40C31" w14:textId="77777777" w:rsidR="006508D8" w:rsidRDefault="00000000" w:rsidP="00543495">
      <w:pPr>
        <w:pStyle w:val="Prrafodelista"/>
        <w:numPr>
          <w:ilvl w:val="0"/>
          <w:numId w:val="2"/>
        </w:numPr>
        <w:spacing w:before="35" w:after="35"/>
        <w:jc w:val="both"/>
      </w:pPr>
      <w:r>
        <w:rPr>
          <w:rFonts w:ascii="Arial" w:eastAsia="Arial" w:hAnsi="Arial" w:cs="Arial"/>
          <w:color w:val="3A3A3A"/>
          <w:sz w:val="18"/>
          <w:szCs w:val="18"/>
        </w:rPr>
        <w:t>Elaboró el Instructivo de Constitución de Garantías Hipotecarias (proceso inexistente previamente). Inició el proyecto de automatización de pagos por depósitos y transferencias.</w:t>
      </w:r>
    </w:p>
    <w:p w14:paraId="1D74A4B8" w14:textId="77777777" w:rsidR="006508D8" w:rsidRDefault="006508D8">
      <w:pPr>
        <w:spacing w:before="50"/>
      </w:pPr>
    </w:p>
    <w:p w14:paraId="1EDFF66C" w14:textId="77777777" w:rsidR="006508D8" w:rsidRDefault="00000000">
      <w:pPr>
        <w:tabs>
          <w:tab w:val="right" w:pos="9200"/>
        </w:tabs>
        <w:spacing w:before="160" w:after="25"/>
      </w:pPr>
      <w:r>
        <w:rPr>
          <w:rFonts w:ascii="Arial" w:eastAsia="Arial" w:hAnsi="Arial" w:cs="Arial"/>
          <w:b/>
          <w:bCs/>
          <w:color w:val="1B3A5C"/>
          <w:sz w:val="21"/>
          <w:szCs w:val="21"/>
        </w:rPr>
        <w:t>Actualización y Formación Profesional</w:t>
      </w:r>
      <w:r>
        <w:rPr>
          <w:rFonts w:ascii="Arial" w:eastAsia="Arial" w:hAnsi="Arial" w:cs="Arial"/>
          <w:i/>
          <w:iCs/>
          <w:color w:val="666666"/>
          <w:sz w:val="18"/>
          <w:szCs w:val="18"/>
        </w:rPr>
        <w:tab/>
        <w:t>2019 – 2021</w:t>
      </w:r>
    </w:p>
    <w:p w14:paraId="10FD3CF8" w14:textId="77777777" w:rsidR="006508D8" w:rsidRDefault="00000000">
      <w:pPr>
        <w:spacing w:after="40"/>
      </w:pPr>
      <w:r>
        <w:rPr>
          <w:rFonts w:ascii="Arial" w:eastAsia="Arial" w:hAnsi="Arial" w:cs="Arial"/>
          <w:i/>
          <w:iCs/>
          <w:color w:val="666666"/>
          <w:sz w:val="18"/>
          <w:szCs w:val="18"/>
        </w:rPr>
        <w:t>Formación independiente tras Mutualista Pichincha: SAP FI (30 h), Excel Empresarial (24 h), Prevención de Lavado de Activos — UAFE (5 h).</w:t>
      </w:r>
    </w:p>
    <w:p w14:paraId="5E189E41" w14:textId="77777777" w:rsidR="006508D8" w:rsidRDefault="006508D8">
      <w:pPr>
        <w:spacing w:before="50"/>
      </w:pPr>
    </w:p>
    <w:p w14:paraId="717C0B3D" w14:textId="77777777" w:rsidR="006508D8" w:rsidRDefault="00000000">
      <w:pPr>
        <w:tabs>
          <w:tab w:val="right" w:pos="9200"/>
        </w:tabs>
        <w:spacing w:before="200" w:after="25"/>
      </w:pPr>
      <w:r>
        <w:rPr>
          <w:rFonts w:ascii="Arial" w:eastAsia="Arial" w:hAnsi="Arial" w:cs="Arial"/>
          <w:b/>
          <w:bCs/>
          <w:color w:val="1B3A5C"/>
          <w:sz w:val="21"/>
          <w:szCs w:val="21"/>
        </w:rPr>
        <w:t xml:space="preserve">Oficial Operativa Regional / </w:t>
      </w:r>
      <w:proofErr w:type="gramStart"/>
      <w:r>
        <w:rPr>
          <w:rFonts w:ascii="Arial" w:eastAsia="Arial" w:hAnsi="Arial" w:cs="Arial"/>
          <w:b/>
          <w:bCs/>
          <w:color w:val="1B3A5C"/>
          <w:sz w:val="21"/>
          <w:szCs w:val="21"/>
        </w:rPr>
        <w:t>Jefa</w:t>
      </w:r>
      <w:proofErr w:type="gramEnd"/>
      <w:r>
        <w:rPr>
          <w:rFonts w:ascii="Arial" w:eastAsia="Arial" w:hAnsi="Arial" w:cs="Arial"/>
          <w:b/>
          <w:bCs/>
          <w:color w:val="1B3A5C"/>
          <w:sz w:val="21"/>
          <w:szCs w:val="21"/>
        </w:rPr>
        <w:t xml:space="preserve"> Operativa</w:t>
      </w:r>
      <w:r>
        <w:rPr>
          <w:rFonts w:ascii="Arial" w:eastAsia="Arial" w:hAnsi="Arial" w:cs="Arial"/>
          <w:i/>
          <w:iCs/>
          <w:color w:val="666666"/>
          <w:sz w:val="18"/>
          <w:szCs w:val="18"/>
        </w:rPr>
        <w:tab/>
      </w:r>
      <w:proofErr w:type="gramStart"/>
      <w:r>
        <w:rPr>
          <w:rFonts w:ascii="Arial" w:eastAsia="Arial" w:hAnsi="Arial" w:cs="Arial"/>
          <w:i/>
          <w:iCs/>
          <w:color w:val="666666"/>
          <w:sz w:val="18"/>
          <w:szCs w:val="18"/>
        </w:rPr>
        <w:t>Ago.</w:t>
      </w:r>
      <w:proofErr w:type="gramEnd"/>
      <w:r>
        <w:rPr>
          <w:rFonts w:ascii="Arial" w:eastAsia="Arial" w:hAnsi="Arial" w:cs="Arial"/>
          <w:i/>
          <w:iCs/>
          <w:color w:val="666666"/>
          <w:sz w:val="18"/>
          <w:szCs w:val="18"/>
        </w:rPr>
        <w:t xml:space="preserve"> 2004 – May. 2019</w:t>
      </w:r>
    </w:p>
    <w:p w14:paraId="3EC80504" w14:textId="0C69E382" w:rsidR="006508D8" w:rsidRDefault="00000000">
      <w:pPr>
        <w:spacing w:after="50"/>
      </w:pPr>
      <w:r>
        <w:rPr>
          <w:rFonts w:ascii="Arial" w:eastAsia="Arial" w:hAnsi="Arial" w:cs="Arial"/>
          <w:color w:val="3A3A3A"/>
          <w:sz w:val="18"/>
          <w:szCs w:val="18"/>
        </w:rPr>
        <w:t>Mutualista Pichincha | Loja, Ecuador</w:t>
      </w:r>
    </w:p>
    <w:p w14:paraId="1A754CFD" w14:textId="77777777" w:rsidR="006508D8" w:rsidRDefault="00000000" w:rsidP="00543495">
      <w:pPr>
        <w:spacing w:before="50" w:after="50"/>
        <w:jc w:val="both"/>
      </w:pPr>
      <w:r>
        <w:rPr>
          <w:rFonts w:ascii="Arial" w:eastAsia="Arial" w:hAnsi="Arial" w:cs="Arial"/>
          <w:i/>
          <w:iCs/>
          <w:color w:val="3A3A3A"/>
          <w:sz w:val="18"/>
          <w:szCs w:val="18"/>
        </w:rPr>
        <w:t xml:space="preserve">Trayectoria ascendente de 15 años: Cajera → Asistente de Negocios → Asistente Operativa → </w:t>
      </w:r>
      <w:proofErr w:type="gramStart"/>
      <w:r>
        <w:rPr>
          <w:rFonts w:ascii="Arial" w:eastAsia="Arial" w:hAnsi="Arial" w:cs="Arial"/>
          <w:i/>
          <w:iCs/>
          <w:color w:val="3A3A3A"/>
          <w:sz w:val="18"/>
          <w:szCs w:val="18"/>
        </w:rPr>
        <w:t>Jefa</w:t>
      </w:r>
      <w:proofErr w:type="gramEnd"/>
      <w:r>
        <w:rPr>
          <w:rFonts w:ascii="Arial" w:eastAsia="Arial" w:hAnsi="Arial" w:cs="Arial"/>
          <w:i/>
          <w:iCs/>
          <w:color w:val="3A3A3A"/>
          <w:sz w:val="18"/>
          <w:szCs w:val="18"/>
        </w:rPr>
        <w:t xml:space="preserve"> Operativa Regional.</w:t>
      </w:r>
    </w:p>
    <w:p w14:paraId="211733EB" w14:textId="77777777" w:rsidR="006508D8" w:rsidRDefault="00000000" w:rsidP="00543495">
      <w:pPr>
        <w:pStyle w:val="Prrafodelista"/>
        <w:numPr>
          <w:ilvl w:val="0"/>
          <w:numId w:val="2"/>
        </w:numPr>
        <w:spacing w:before="35" w:after="35"/>
        <w:jc w:val="both"/>
      </w:pPr>
      <w:r>
        <w:rPr>
          <w:rFonts w:ascii="Arial" w:eastAsia="Arial" w:hAnsi="Arial" w:cs="Arial"/>
          <w:color w:val="3A3A3A"/>
          <w:sz w:val="18"/>
          <w:szCs w:val="18"/>
        </w:rPr>
        <w:t>Reconocida a nivel nacional por excelencia en control operativo. Agencia consistentemente por encima del 80 % en gestión de excepciones de crédito hipotecario.</w:t>
      </w:r>
    </w:p>
    <w:p w14:paraId="122F8615" w14:textId="77777777" w:rsidR="006508D8" w:rsidRDefault="00000000" w:rsidP="00543495">
      <w:pPr>
        <w:pStyle w:val="Prrafodelista"/>
        <w:numPr>
          <w:ilvl w:val="0"/>
          <w:numId w:val="2"/>
        </w:numPr>
        <w:spacing w:before="35" w:after="35"/>
        <w:jc w:val="both"/>
      </w:pPr>
      <w:r>
        <w:rPr>
          <w:rFonts w:ascii="Arial" w:eastAsia="Arial" w:hAnsi="Arial" w:cs="Arial"/>
          <w:color w:val="3A3A3A"/>
          <w:sz w:val="18"/>
          <w:szCs w:val="18"/>
        </w:rPr>
        <w:t>Administró proyecto inmobiliario institucional en Loja. Gestión de alertas ALA/FT con 100 % de cumplimiento en comités trimestrales. Auditorías internas concluidas sin observaciones significativas de forma sostenida.</w:t>
      </w:r>
    </w:p>
    <w:p w14:paraId="44378096" w14:textId="77777777" w:rsidR="006508D8" w:rsidRDefault="006508D8">
      <w:pPr>
        <w:spacing w:before="50"/>
      </w:pPr>
    </w:p>
    <w:p w14:paraId="204CD3BC" w14:textId="77777777" w:rsidR="006508D8" w:rsidRDefault="00000000">
      <w:pPr>
        <w:tabs>
          <w:tab w:val="right" w:pos="9200"/>
        </w:tabs>
        <w:spacing w:before="200" w:after="25"/>
      </w:pPr>
      <w:r>
        <w:rPr>
          <w:rFonts w:ascii="Arial" w:eastAsia="Arial" w:hAnsi="Arial" w:cs="Arial"/>
          <w:b/>
          <w:bCs/>
          <w:color w:val="1B3A5C"/>
          <w:sz w:val="21"/>
          <w:szCs w:val="21"/>
        </w:rPr>
        <w:t>Cajera</w:t>
      </w:r>
      <w:r>
        <w:rPr>
          <w:rFonts w:ascii="Arial" w:eastAsia="Arial" w:hAnsi="Arial" w:cs="Arial"/>
          <w:i/>
          <w:iCs/>
          <w:color w:val="666666"/>
          <w:sz w:val="18"/>
          <w:szCs w:val="18"/>
        </w:rPr>
        <w:tab/>
        <w:t xml:space="preserve">Ene. 2002 – </w:t>
      </w:r>
      <w:proofErr w:type="gramStart"/>
      <w:r>
        <w:rPr>
          <w:rFonts w:ascii="Arial" w:eastAsia="Arial" w:hAnsi="Arial" w:cs="Arial"/>
          <w:i/>
          <w:iCs/>
          <w:color w:val="666666"/>
          <w:sz w:val="18"/>
          <w:szCs w:val="18"/>
        </w:rPr>
        <w:t>Nov.</w:t>
      </w:r>
      <w:proofErr w:type="gramEnd"/>
      <w:r>
        <w:rPr>
          <w:rFonts w:ascii="Arial" w:eastAsia="Arial" w:hAnsi="Arial" w:cs="Arial"/>
          <w:i/>
          <w:iCs/>
          <w:color w:val="666666"/>
          <w:sz w:val="18"/>
          <w:szCs w:val="18"/>
        </w:rPr>
        <w:t xml:space="preserve"> 2003</w:t>
      </w:r>
    </w:p>
    <w:p w14:paraId="3E639396" w14:textId="060A94B2" w:rsidR="006508D8" w:rsidRDefault="00000000">
      <w:pPr>
        <w:spacing w:after="50"/>
      </w:pPr>
      <w:r>
        <w:rPr>
          <w:rFonts w:ascii="Arial" w:eastAsia="Arial" w:hAnsi="Arial" w:cs="Arial"/>
          <w:color w:val="3A3A3A"/>
          <w:sz w:val="18"/>
          <w:szCs w:val="18"/>
        </w:rPr>
        <w:t>Cooperativa de Ahorro y Crédito El Porvenir | Loja, Ecuador</w:t>
      </w:r>
    </w:p>
    <w:p w14:paraId="0D21B57D" w14:textId="77777777" w:rsidR="006508D8" w:rsidRDefault="00000000">
      <w:pPr>
        <w:pStyle w:val="Prrafodelista"/>
        <w:numPr>
          <w:ilvl w:val="0"/>
          <w:numId w:val="2"/>
        </w:numPr>
        <w:spacing w:before="35" w:after="35"/>
      </w:pPr>
      <w:r>
        <w:rPr>
          <w:rFonts w:ascii="Arial" w:eastAsia="Arial" w:hAnsi="Arial" w:cs="Arial"/>
          <w:color w:val="3A3A3A"/>
          <w:sz w:val="18"/>
          <w:szCs w:val="18"/>
        </w:rPr>
        <w:lastRenderedPageBreak/>
        <w:t>Gestión de caja sin faltantes ni sobrantes. Contrato renovado de forma anticipada a los tres meses. Apoyo al área de Contabilidad; reemplazó a la contadora durante su período de vacaciones.</w:t>
      </w:r>
    </w:p>
    <w:p w14:paraId="613C47A3" w14:textId="77777777" w:rsidR="006508D8" w:rsidRDefault="00000000">
      <w:pPr>
        <w:pBdr>
          <w:bottom w:val="single" w:sz="8" w:space="3" w:color="1B3A5C"/>
        </w:pBdr>
        <w:spacing w:before="260" w:after="70"/>
      </w:pPr>
      <w:r>
        <w:rPr>
          <w:rFonts w:ascii="Arial" w:eastAsia="Arial" w:hAnsi="Arial" w:cs="Arial"/>
          <w:b/>
          <w:bCs/>
          <w:color w:val="1B3A5C"/>
        </w:rPr>
        <w:t>FORMACIÓN ACADÉMICA</w:t>
      </w:r>
    </w:p>
    <w:p w14:paraId="60952024" w14:textId="77777777" w:rsidR="006508D8" w:rsidRDefault="00000000">
      <w:pPr>
        <w:tabs>
          <w:tab w:val="right" w:pos="9200"/>
        </w:tabs>
        <w:spacing w:before="120" w:after="20"/>
      </w:pPr>
      <w:r>
        <w:rPr>
          <w:rFonts w:ascii="Arial" w:eastAsia="Arial" w:hAnsi="Arial" w:cs="Arial"/>
          <w:b/>
          <w:bCs/>
          <w:color w:val="1B3A5C"/>
          <w:sz w:val="19"/>
          <w:szCs w:val="19"/>
        </w:rPr>
        <w:t>Máster Universitario en Dirección y Planificación Financiera</w:t>
      </w:r>
      <w:r>
        <w:rPr>
          <w:rFonts w:ascii="Arial" w:eastAsia="Arial" w:hAnsi="Arial" w:cs="Arial"/>
          <w:b/>
          <w:bCs/>
          <w:color w:val="1B3A5C"/>
          <w:sz w:val="18"/>
          <w:szCs w:val="18"/>
        </w:rPr>
        <w:tab/>
        <w:t>2021</w:t>
      </w:r>
    </w:p>
    <w:p w14:paraId="53FEDC72" w14:textId="77777777" w:rsidR="006508D8" w:rsidRDefault="00000000">
      <w:pPr>
        <w:spacing w:after="15"/>
      </w:pPr>
      <w:r>
        <w:rPr>
          <w:rFonts w:ascii="Arial" w:eastAsia="Arial" w:hAnsi="Arial" w:cs="Arial"/>
          <w:i/>
          <w:iCs/>
          <w:color w:val="666666"/>
          <w:sz w:val="17"/>
          <w:szCs w:val="17"/>
        </w:rPr>
        <w:t>Universidad Europea Miguel de Cervantes — Valladolid, España</w:t>
      </w:r>
    </w:p>
    <w:p w14:paraId="735BD34F" w14:textId="496BF3AC" w:rsidR="006508D8" w:rsidRDefault="00000000">
      <w:pPr>
        <w:spacing w:after="60"/>
      </w:pPr>
      <w:r>
        <w:rPr>
          <w:rFonts w:ascii="Arial" w:eastAsia="Arial" w:hAnsi="Arial" w:cs="Arial"/>
          <w:i/>
          <w:iCs/>
          <w:color w:val="666666"/>
          <w:sz w:val="16"/>
          <w:szCs w:val="16"/>
        </w:rPr>
        <w:t>Título reconocido por la SENECYT — Ecuador, febrero de 2023 | Reg. 2021/394270</w:t>
      </w:r>
    </w:p>
    <w:p w14:paraId="24C66BFF" w14:textId="77777777" w:rsidR="006508D8" w:rsidRDefault="00000000">
      <w:pPr>
        <w:tabs>
          <w:tab w:val="right" w:pos="9200"/>
        </w:tabs>
        <w:spacing w:before="120" w:after="20"/>
      </w:pPr>
      <w:r>
        <w:rPr>
          <w:rFonts w:ascii="Arial" w:eastAsia="Arial" w:hAnsi="Arial" w:cs="Arial"/>
          <w:b/>
          <w:bCs/>
          <w:color w:val="1B3A5C"/>
          <w:sz w:val="19"/>
          <w:szCs w:val="19"/>
        </w:rPr>
        <w:t>Ingeniera en Administración en Banca y Finanzas</w:t>
      </w:r>
      <w:r>
        <w:rPr>
          <w:rFonts w:ascii="Arial" w:eastAsia="Arial" w:hAnsi="Arial" w:cs="Arial"/>
          <w:b/>
          <w:bCs/>
          <w:color w:val="1B3A5C"/>
          <w:sz w:val="18"/>
          <w:szCs w:val="18"/>
        </w:rPr>
        <w:tab/>
        <w:t>2007</w:t>
      </w:r>
    </w:p>
    <w:p w14:paraId="6B29D77F" w14:textId="77777777" w:rsidR="006508D8" w:rsidRDefault="00000000">
      <w:pPr>
        <w:spacing w:after="60"/>
      </w:pPr>
      <w:r>
        <w:rPr>
          <w:rFonts w:ascii="Arial" w:eastAsia="Arial" w:hAnsi="Arial" w:cs="Arial"/>
          <w:i/>
          <w:iCs/>
          <w:color w:val="666666"/>
          <w:sz w:val="17"/>
          <w:szCs w:val="17"/>
        </w:rPr>
        <w:t>Universidad Técnica Particular de Loja (UTPL)</w:t>
      </w:r>
    </w:p>
    <w:p w14:paraId="3F3D1660" w14:textId="77777777" w:rsidR="006508D8" w:rsidRDefault="00000000">
      <w:pPr>
        <w:pBdr>
          <w:bottom w:val="single" w:sz="8" w:space="3" w:color="1B3A5C"/>
        </w:pBdr>
        <w:spacing w:before="260" w:after="70"/>
      </w:pPr>
      <w:r>
        <w:rPr>
          <w:rFonts w:ascii="Arial" w:eastAsia="Arial" w:hAnsi="Arial" w:cs="Arial"/>
          <w:b/>
          <w:bCs/>
          <w:color w:val="1B3A5C"/>
        </w:rPr>
        <w:t>CERTIFICACIONES RELEVANTES</w:t>
      </w:r>
    </w:p>
    <w:p w14:paraId="259048CD" w14:textId="77777777" w:rsidR="006508D8" w:rsidRDefault="006508D8">
      <w:pPr>
        <w:spacing w:before="30"/>
      </w:pPr>
    </w:p>
    <w:p w14:paraId="2B45B7D7" w14:textId="5B577250" w:rsidR="006508D8" w:rsidRDefault="00000000">
      <w:pPr>
        <w:pStyle w:val="Prrafodelista"/>
        <w:numPr>
          <w:ilvl w:val="0"/>
          <w:numId w:val="2"/>
        </w:numPr>
        <w:tabs>
          <w:tab w:val="right" w:pos="9200"/>
        </w:tabs>
        <w:spacing w:before="30" w:after="30"/>
      </w:pPr>
      <w:r>
        <w:rPr>
          <w:rFonts w:ascii="Arial" w:eastAsia="Arial" w:hAnsi="Arial" w:cs="Arial"/>
          <w:color w:val="3A3A3A"/>
          <w:sz w:val="17"/>
          <w:szCs w:val="17"/>
        </w:rPr>
        <w:t>Mujeres que Lideran: Alta Gerencia — Foro UNIR</w:t>
      </w:r>
      <w:r>
        <w:rPr>
          <w:rFonts w:ascii="Arial" w:eastAsia="Arial" w:hAnsi="Arial" w:cs="Arial"/>
          <w:i/>
          <w:iCs/>
          <w:color w:val="666666"/>
          <w:sz w:val="16"/>
          <w:szCs w:val="16"/>
        </w:rPr>
        <w:t xml:space="preserve"> — Universidad Internacional de La Rioja</w:t>
      </w:r>
      <w:r>
        <w:rPr>
          <w:rFonts w:ascii="Arial" w:eastAsia="Arial" w:hAnsi="Arial" w:cs="Arial"/>
          <w:b/>
          <w:bCs/>
          <w:color w:val="1B3A5C"/>
          <w:sz w:val="16"/>
          <w:szCs w:val="16"/>
        </w:rPr>
        <w:tab/>
        <w:t>2026</w:t>
      </w:r>
    </w:p>
    <w:p w14:paraId="2CAA8501" w14:textId="779AD1C9" w:rsidR="006508D8" w:rsidRDefault="00000000">
      <w:pPr>
        <w:pStyle w:val="Prrafodelista"/>
        <w:numPr>
          <w:ilvl w:val="0"/>
          <w:numId w:val="2"/>
        </w:numPr>
        <w:tabs>
          <w:tab w:val="right" w:pos="9200"/>
        </w:tabs>
        <w:spacing w:before="30" w:after="30"/>
      </w:pPr>
      <w:r>
        <w:rPr>
          <w:rFonts w:ascii="Arial" w:eastAsia="Arial" w:hAnsi="Arial" w:cs="Arial"/>
          <w:color w:val="3A3A3A"/>
          <w:sz w:val="17"/>
          <w:szCs w:val="17"/>
        </w:rPr>
        <w:t>Programa Internacional de Habilidades Gerenciales (48 h)</w:t>
      </w:r>
      <w:r>
        <w:rPr>
          <w:rFonts w:ascii="Arial" w:eastAsia="Arial" w:hAnsi="Arial" w:cs="Arial"/>
          <w:i/>
          <w:iCs/>
          <w:color w:val="666666"/>
          <w:sz w:val="16"/>
          <w:szCs w:val="16"/>
        </w:rPr>
        <w:t xml:space="preserve"> — IDEASGROUP — Ecuador / México</w:t>
      </w:r>
      <w:r>
        <w:rPr>
          <w:rFonts w:ascii="Arial" w:eastAsia="Arial" w:hAnsi="Arial" w:cs="Arial"/>
          <w:b/>
          <w:bCs/>
          <w:color w:val="1B3A5C"/>
          <w:sz w:val="16"/>
          <w:szCs w:val="16"/>
        </w:rPr>
        <w:tab/>
        <w:t>2025</w:t>
      </w:r>
    </w:p>
    <w:p w14:paraId="24BD3F4C" w14:textId="0323A4AB" w:rsidR="006508D8" w:rsidRDefault="00000000">
      <w:pPr>
        <w:pStyle w:val="Prrafodelista"/>
        <w:numPr>
          <w:ilvl w:val="0"/>
          <w:numId w:val="2"/>
        </w:numPr>
        <w:tabs>
          <w:tab w:val="right" w:pos="9200"/>
        </w:tabs>
        <w:spacing w:before="30" w:after="30"/>
      </w:pPr>
      <w:r>
        <w:rPr>
          <w:rFonts w:ascii="Arial" w:eastAsia="Arial" w:hAnsi="Arial" w:cs="Arial"/>
          <w:color w:val="3A3A3A"/>
          <w:sz w:val="17"/>
          <w:szCs w:val="17"/>
        </w:rPr>
        <w:t>Transforma tu Trabajo con Inteligencia Artificial (12 h)</w:t>
      </w:r>
      <w:r>
        <w:rPr>
          <w:rFonts w:ascii="Arial" w:eastAsia="Arial" w:hAnsi="Arial" w:cs="Arial"/>
          <w:i/>
          <w:iCs/>
          <w:color w:val="666666"/>
          <w:sz w:val="16"/>
          <w:szCs w:val="16"/>
        </w:rPr>
        <w:t xml:space="preserve"> — Red de Instituciones Financieras de Desarrollo</w:t>
      </w:r>
      <w:r>
        <w:rPr>
          <w:rFonts w:ascii="Arial" w:eastAsia="Arial" w:hAnsi="Arial" w:cs="Arial"/>
          <w:b/>
          <w:bCs/>
          <w:color w:val="1B3A5C"/>
          <w:sz w:val="16"/>
          <w:szCs w:val="16"/>
        </w:rPr>
        <w:tab/>
        <w:t>2025</w:t>
      </w:r>
    </w:p>
    <w:p w14:paraId="0B32087A" w14:textId="4C8E3D74" w:rsidR="006508D8" w:rsidRDefault="00000000">
      <w:pPr>
        <w:pStyle w:val="Prrafodelista"/>
        <w:numPr>
          <w:ilvl w:val="0"/>
          <w:numId w:val="2"/>
        </w:numPr>
        <w:tabs>
          <w:tab w:val="right" w:pos="9200"/>
        </w:tabs>
        <w:spacing w:before="30" w:after="30"/>
      </w:pPr>
      <w:r>
        <w:rPr>
          <w:rFonts w:ascii="Arial" w:eastAsia="Arial" w:hAnsi="Arial" w:cs="Arial"/>
          <w:color w:val="3A3A3A"/>
          <w:sz w:val="17"/>
          <w:szCs w:val="17"/>
        </w:rPr>
        <w:t xml:space="preserve">Excel: Básico a </w:t>
      </w:r>
      <w:proofErr w:type="spellStart"/>
      <w:r>
        <w:rPr>
          <w:rFonts w:ascii="Arial" w:eastAsia="Arial" w:hAnsi="Arial" w:cs="Arial"/>
          <w:color w:val="3A3A3A"/>
          <w:sz w:val="17"/>
          <w:szCs w:val="17"/>
        </w:rPr>
        <w:t>Dashboard</w:t>
      </w:r>
      <w:proofErr w:type="spellEnd"/>
      <w:r>
        <w:rPr>
          <w:rFonts w:ascii="Arial" w:eastAsia="Arial" w:hAnsi="Arial" w:cs="Arial"/>
          <w:color w:val="3A3A3A"/>
          <w:sz w:val="17"/>
          <w:szCs w:val="17"/>
        </w:rPr>
        <w:t xml:space="preserve"> (40 h)</w:t>
      </w:r>
      <w:r>
        <w:rPr>
          <w:rFonts w:ascii="Arial" w:eastAsia="Arial" w:hAnsi="Arial" w:cs="Arial"/>
          <w:i/>
          <w:iCs/>
          <w:color w:val="666666"/>
          <w:sz w:val="16"/>
          <w:szCs w:val="16"/>
        </w:rPr>
        <w:t xml:space="preserve"> — DMARURI Training &amp; </w:t>
      </w:r>
      <w:proofErr w:type="spellStart"/>
      <w:r>
        <w:rPr>
          <w:rFonts w:ascii="Arial" w:eastAsia="Arial" w:hAnsi="Arial" w:cs="Arial"/>
          <w:i/>
          <w:iCs/>
          <w:color w:val="666666"/>
          <w:sz w:val="16"/>
          <w:szCs w:val="16"/>
        </w:rPr>
        <w:t>Consulting</w:t>
      </w:r>
      <w:proofErr w:type="spellEnd"/>
      <w:r>
        <w:rPr>
          <w:rFonts w:ascii="Arial" w:eastAsia="Arial" w:hAnsi="Arial" w:cs="Arial"/>
          <w:b/>
          <w:bCs/>
          <w:color w:val="1B3A5C"/>
          <w:sz w:val="16"/>
          <w:szCs w:val="16"/>
        </w:rPr>
        <w:tab/>
        <w:t>2025</w:t>
      </w:r>
    </w:p>
    <w:p w14:paraId="197BD6D6" w14:textId="136169F3" w:rsidR="006508D8" w:rsidRDefault="00000000">
      <w:pPr>
        <w:pStyle w:val="Prrafodelista"/>
        <w:numPr>
          <w:ilvl w:val="0"/>
          <w:numId w:val="2"/>
        </w:numPr>
        <w:tabs>
          <w:tab w:val="right" w:pos="9200"/>
        </w:tabs>
        <w:spacing w:before="30" w:after="30"/>
      </w:pPr>
      <w:r>
        <w:rPr>
          <w:rFonts w:ascii="Arial" w:eastAsia="Arial" w:hAnsi="Arial" w:cs="Arial"/>
          <w:color w:val="3A3A3A"/>
          <w:sz w:val="17"/>
          <w:szCs w:val="17"/>
        </w:rPr>
        <w:t>Administración por Procesos — BPM (64 h)</w:t>
      </w:r>
      <w:r>
        <w:rPr>
          <w:rFonts w:ascii="Arial" w:eastAsia="Arial" w:hAnsi="Arial" w:cs="Arial"/>
          <w:i/>
          <w:iCs/>
          <w:color w:val="666666"/>
          <w:sz w:val="16"/>
          <w:szCs w:val="16"/>
        </w:rPr>
        <w:t xml:space="preserve"> — Escuela Politécnica Nacional — CEC</w:t>
      </w:r>
      <w:r>
        <w:rPr>
          <w:rFonts w:ascii="Arial" w:eastAsia="Arial" w:hAnsi="Arial" w:cs="Arial"/>
          <w:b/>
          <w:bCs/>
          <w:color w:val="1B3A5C"/>
          <w:sz w:val="16"/>
          <w:szCs w:val="16"/>
        </w:rPr>
        <w:tab/>
        <w:t>2024</w:t>
      </w:r>
    </w:p>
    <w:p w14:paraId="3EED9128" w14:textId="4240D5E7" w:rsidR="006508D8" w:rsidRDefault="00000000">
      <w:pPr>
        <w:pStyle w:val="Prrafodelista"/>
        <w:numPr>
          <w:ilvl w:val="0"/>
          <w:numId w:val="2"/>
        </w:numPr>
        <w:tabs>
          <w:tab w:val="right" w:pos="9200"/>
        </w:tabs>
        <w:spacing w:before="30" w:after="30"/>
      </w:pPr>
      <w:r>
        <w:rPr>
          <w:rFonts w:ascii="Arial" w:eastAsia="Arial" w:hAnsi="Arial" w:cs="Arial"/>
          <w:color w:val="3A3A3A"/>
          <w:sz w:val="17"/>
          <w:szCs w:val="17"/>
        </w:rPr>
        <w:t xml:space="preserve">Formación de Formadores (80 h) — </w:t>
      </w:r>
      <w:proofErr w:type="spellStart"/>
      <w:r>
        <w:rPr>
          <w:rFonts w:ascii="Arial" w:eastAsia="Arial" w:hAnsi="Arial" w:cs="Arial"/>
          <w:color w:val="3A3A3A"/>
          <w:sz w:val="17"/>
          <w:szCs w:val="17"/>
        </w:rPr>
        <w:t>Cert</w:t>
      </w:r>
      <w:proofErr w:type="spellEnd"/>
      <w:r>
        <w:rPr>
          <w:rFonts w:ascii="Arial" w:eastAsia="Arial" w:hAnsi="Arial" w:cs="Arial"/>
          <w:color w:val="3A3A3A"/>
          <w:sz w:val="17"/>
          <w:szCs w:val="17"/>
        </w:rPr>
        <w:t>. MDT, vigente hasta 2028</w:t>
      </w:r>
      <w:r>
        <w:rPr>
          <w:rFonts w:ascii="Arial" w:eastAsia="Arial" w:hAnsi="Arial" w:cs="Arial"/>
          <w:i/>
          <w:iCs/>
          <w:color w:val="666666"/>
          <w:sz w:val="16"/>
          <w:szCs w:val="16"/>
        </w:rPr>
        <w:t xml:space="preserve"> — Ministerio del Trabajo del Ecuador</w:t>
      </w:r>
      <w:r>
        <w:rPr>
          <w:rFonts w:ascii="Arial" w:eastAsia="Arial" w:hAnsi="Arial" w:cs="Arial"/>
          <w:b/>
          <w:bCs/>
          <w:color w:val="1B3A5C"/>
          <w:sz w:val="16"/>
          <w:szCs w:val="16"/>
        </w:rPr>
        <w:tab/>
        <w:t>2023</w:t>
      </w:r>
    </w:p>
    <w:p w14:paraId="3AE674F6" w14:textId="0557F72C" w:rsidR="006508D8" w:rsidRDefault="00000000">
      <w:pPr>
        <w:pStyle w:val="Prrafodelista"/>
        <w:numPr>
          <w:ilvl w:val="0"/>
          <w:numId w:val="2"/>
        </w:numPr>
        <w:tabs>
          <w:tab w:val="right" w:pos="9200"/>
        </w:tabs>
        <w:spacing w:before="30" w:after="30"/>
      </w:pPr>
      <w:r>
        <w:rPr>
          <w:rFonts w:ascii="Arial" w:eastAsia="Arial" w:hAnsi="Arial" w:cs="Arial"/>
          <w:color w:val="3A3A3A"/>
          <w:sz w:val="17"/>
          <w:szCs w:val="17"/>
        </w:rPr>
        <w:t>Power BI (40 h) | Indicadores Clave de Desempeño — KPI (12 h)</w:t>
      </w:r>
      <w:r>
        <w:rPr>
          <w:rFonts w:ascii="Arial" w:eastAsia="Arial" w:hAnsi="Arial" w:cs="Arial"/>
          <w:i/>
          <w:iCs/>
          <w:color w:val="666666"/>
          <w:sz w:val="16"/>
          <w:szCs w:val="16"/>
        </w:rPr>
        <w:t xml:space="preserve"> — Liderazgo Capacitación &amp; Eventos</w:t>
      </w:r>
      <w:r>
        <w:rPr>
          <w:rFonts w:ascii="Arial" w:eastAsia="Arial" w:hAnsi="Arial" w:cs="Arial"/>
          <w:b/>
          <w:bCs/>
          <w:color w:val="1B3A5C"/>
          <w:sz w:val="16"/>
          <w:szCs w:val="16"/>
        </w:rPr>
        <w:tab/>
        <w:t>2023</w:t>
      </w:r>
    </w:p>
    <w:p w14:paraId="3621DB82" w14:textId="3A8C3017" w:rsidR="006508D8" w:rsidRDefault="00000000">
      <w:pPr>
        <w:pStyle w:val="Prrafodelista"/>
        <w:numPr>
          <w:ilvl w:val="0"/>
          <w:numId w:val="2"/>
        </w:numPr>
        <w:tabs>
          <w:tab w:val="right" w:pos="9200"/>
        </w:tabs>
        <w:spacing w:before="30" w:after="30"/>
      </w:pPr>
      <w:r>
        <w:rPr>
          <w:rFonts w:ascii="Arial" w:eastAsia="Arial" w:hAnsi="Arial" w:cs="Arial"/>
          <w:color w:val="3A3A3A"/>
          <w:sz w:val="17"/>
          <w:szCs w:val="17"/>
        </w:rPr>
        <w:t xml:space="preserve">Gestión Financiera ERP SAP FI — Key </w:t>
      </w:r>
      <w:proofErr w:type="spellStart"/>
      <w:r>
        <w:rPr>
          <w:rFonts w:ascii="Arial" w:eastAsia="Arial" w:hAnsi="Arial" w:cs="Arial"/>
          <w:color w:val="3A3A3A"/>
          <w:sz w:val="17"/>
          <w:szCs w:val="17"/>
        </w:rPr>
        <w:t>User</w:t>
      </w:r>
      <w:proofErr w:type="spellEnd"/>
      <w:r>
        <w:rPr>
          <w:rFonts w:ascii="Arial" w:eastAsia="Arial" w:hAnsi="Arial" w:cs="Arial"/>
          <w:color w:val="3A3A3A"/>
          <w:sz w:val="17"/>
          <w:szCs w:val="17"/>
        </w:rPr>
        <w:t xml:space="preserve"> (30 h)</w:t>
      </w:r>
      <w:r>
        <w:rPr>
          <w:rFonts w:ascii="Arial" w:eastAsia="Arial" w:hAnsi="Arial" w:cs="Arial"/>
          <w:i/>
          <w:iCs/>
          <w:color w:val="666666"/>
          <w:sz w:val="16"/>
          <w:szCs w:val="16"/>
        </w:rPr>
        <w:t xml:space="preserve"> — Socio SAP certificado</w:t>
      </w:r>
      <w:r>
        <w:rPr>
          <w:rFonts w:ascii="Arial" w:eastAsia="Arial" w:hAnsi="Arial" w:cs="Arial"/>
          <w:b/>
          <w:bCs/>
          <w:color w:val="1B3A5C"/>
          <w:sz w:val="16"/>
          <w:szCs w:val="16"/>
        </w:rPr>
        <w:tab/>
        <w:t>2020</w:t>
      </w:r>
    </w:p>
    <w:p w14:paraId="4BEED168" w14:textId="2461C979" w:rsidR="006508D8" w:rsidRDefault="00000000">
      <w:pPr>
        <w:pStyle w:val="Prrafodelista"/>
        <w:numPr>
          <w:ilvl w:val="0"/>
          <w:numId w:val="2"/>
        </w:numPr>
        <w:tabs>
          <w:tab w:val="right" w:pos="9200"/>
        </w:tabs>
        <w:spacing w:before="30" w:after="30"/>
      </w:pPr>
      <w:r>
        <w:rPr>
          <w:rFonts w:ascii="Arial" w:eastAsia="Arial" w:hAnsi="Arial" w:cs="Arial"/>
          <w:color w:val="3A3A3A"/>
          <w:sz w:val="17"/>
          <w:szCs w:val="17"/>
        </w:rPr>
        <w:t>Prevención de Lavado de Activos y Financiamiento de Delitos</w:t>
      </w:r>
      <w:r>
        <w:rPr>
          <w:rFonts w:ascii="Arial" w:eastAsia="Arial" w:hAnsi="Arial" w:cs="Arial"/>
          <w:i/>
          <w:iCs/>
          <w:color w:val="666666"/>
          <w:sz w:val="16"/>
          <w:szCs w:val="16"/>
        </w:rPr>
        <w:t xml:space="preserve"> — UAFE — Ecuador</w:t>
      </w:r>
      <w:r>
        <w:rPr>
          <w:rFonts w:ascii="Arial" w:eastAsia="Arial" w:hAnsi="Arial" w:cs="Arial"/>
          <w:b/>
          <w:bCs/>
          <w:color w:val="1B3A5C"/>
          <w:sz w:val="16"/>
          <w:szCs w:val="16"/>
        </w:rPr>
        <w:tab/>
        <w:t>2020</w:t>
      </w:r>
    </w:p>
    <w:p w14:paraId="23E4720D" w14:textId="4653755F" w:rsidR="006508D8" w:rsidRDefault="00000000">
      <w:pPr>
        <w:pStyle w:val="Prrafodelista"/>
        <w:numPr>
          <w:ilvl w:val="0"/>
          <w:numId w:val="2"/>
        </w:numPr>
        <w:tabs>
          <w:tab w:val="right" w:pos="9200"/>
        </w:tabs>
        <w:spacing w:before="30" w:after="30"/>
      </w:pPr>
      <w:r>
        <w:rPr>
          <w:rFonts w:ascii="Arial" w:eastAsia="Arial" w:hAnsi="Arial" w:cs="Arial"/>
          <w:color w:val="3A3A3A"/>
          <w:sz w:val="17"/>
          <w:szCs w:val="17"/>
        </w:rPr>
        <w:t>Tributación Integral (36 h)</w:t>
      </w:r>
      <w:r>
        <w:rPr>
          <w:rFonts w:ascii="Arial" w:eastAsia="Arial" w:hAnsi="Arial" w:cs="Arial"/>
          <w:i/>
          <w:iCs/>
          <w:color w:val="666666"/>
          <w:sz w:val="16"/>
          <w:szCs w:val="16"/>
        </w:rPr>
        <w:t xml:space="preserve"> — Universidad Técnica Particular de Loja</w:t>
      </w:r>
      <w:r>
        <w:rPr>
          <w:rFonts w:ascii="Arial" w:eastAsia="Arial" w:hAnsi="Arial" w:cs="Arial"/>
          <w:b/>
          <w:bCs/>
          <w:color w:val="1B3A5C"/>
          <w:sz w:val="16"/>
          <w:szCs w:val="16"/>
        </w:rPr>
        <w:tab/>
        <w:t>2013</w:t>
      </w:r>
    </w:p>
    <w:p w14:paraId="0DF82C73" w14:textId="77777777" w:rsidR="006508D8" w:rsidRDefault="00000000">
      <w:pPr>
        <w:pBdr>
          <w:bottom w:val="single" w:sz="8" w:space="3" w:color="1B3A5C"/>
        </w:pBdr>
        <w:spacing w:before="260" w:after="70"/>
      </w:pPr>
      <w:r>
        <w:rPr>
          <w:rFonts w:ascii="Arial" w:eastAsia="Arial" w:hAnsi="Arial" w:cs="Arial"/>
          <w:b/>
          <w:bCs/>
          <w:color w:val="1B3A5C"/>
        </w:rPr>
        <w:t>COMPETENCIAS CLAVE</w:t>
      </w:r>
    </w:p>
    <w:p w14:paraId="04CDF573" w14:textId="77777777" w:rsidR="006508D8" w:rsidRDefault="006508D8">
      <w:pPr>
        <w:spacing w:before="30"/>
      </w:pPr>
    </w:p>
    <w:p w14:paraId="6C4DDCB2" w14:textId="463CC3B6" w:rsidR="006508D8" w:rsidRDefault="00000000" w:rsidP="00543495">
      <w:pPr>
        <w:spacing w:after="35"/>
        <w:jc w:val="both"/>
      </w:pPr>
      <w:r>
        <w:rPr>
          <w:rFonts w:ascii="Arial" w:eastAsia="Arial" w:hAnsi="Arial" w:cs="Arial"/>
          <w:b/>
          <w:bCs/>
          <w:color w:val="1B3A5C"/>
          <w:sz w:val="18"/>
          <w:szCs w:val="18"/>
        </w:rPr>
        <w:t xml:space="preserve">Finanzas y Operaciones:  </w:t>
      </w:r>
      <w:r>
        <w:rPr>
          <w:rFonts w:ascii="Arial" w:eastAsia="Arial" w:hAnsi="Arial" w:cs="Arial"/>
          <w:color w:val="3A3A3A"/>
          <w:sz w:val="18"/>
          <w:szCs w:val="18"/>
        </w:rPr>
        <w:t>Gestión de Operaciones Financieras · Conciliación Bancaria · Originación de Crédito · Gestión de Cartera · Control Interno · Tesorería Operativa · Microfinanzas · ALA/FT</w:t>
      </w:r>
    </w:p>
    <w:p w14:paraId="0218810B" w14:textId="16001DDF" w:rsidR="006508D8" w:rsidRDefault="00000000" w:rsidP="00543495">
      <w:pPr>
        <w:spacing w:after="35"/>
        <w:jc w:val="both"/>
      </w:pPr>
      <w:r>
        <w:rPr>
          <w:rFonts w:ascii="Arial" w:eastAsia="Arial" w:hAnsi="Arial" w:cs="Arial"/>
          <w:b/>
          <w:bCs/>
          <w:color w:val="1B3A5C"/>
          <w:sz w:val="18"/>
          <w:szCs w:val="18"/>
        </w:rPr>
        <w:t xml:space="preserve">Tecnología y Procesos:  </w:t>
      </w:r>
      <w:r>
        <w:rPr>
          <w:rFonts w:ascii="Arial" w:eastAsia="Arial" w:hAnsi="Arial" w:cs="Arial"/>
          <w:color w:val="3A3A3A"/>
          <w:sz w:val="18"/>
          <w:szCs w:val="18"/>
        </w:rPr>
        <w:t xml:space="preserve">Transformación Digital · BPM · Integración de APIs / Web Services · SAP FI · Excel Avanzado / </w:t>
      </w:r>
      <w:proofErr w:type="spellStart"/>
      <w:r>
        <w:rPr>
          <w:rFonts w:ascii="Arial" w:eastAsia="Arial" w:hAnsi="Arial" w:cs="Arial"/>
          <w:color w:val="3A3A3A"/>
          <w:sz w:val="18"/>
          <w:szCs w:val="18"/>
        </w:rPr>
        <w:t>Dashboard</w:t>
      </w:r>
      <w:proofErr w:type="spellEnd"/>
      <w:r>
        <w:rPr>
          <w:rFonts w:ascii="Arial" w:eastAsia="Arial" w:hAnsi="Arial" w:cs="Arial"/>
          <w:color w:val="3A3A3A"/>
          <w:sz w:val="18"/>
          <w:szCs w:val="18"/>
        </w:rPr>
        <w:t xml:space="preserve"> · Power BI (definición de KPI) · IA Aplicada · Core Financiero</w:t>
      </w:r>
    </w:p>
    <w:p w14:paraId="011B3786" w14:textId="350CBB35" w:rsidR="006508D8" w:rsidRDefault="00000000" w:rsidP="00543495">
      <w:pPr>
        <w:spacing w:after="35"/>
        <w:jc w:val="both"/>
      </w:pPr>
      <w:r>
        <w:rPr>
          <w:rFonts w:ascii="Arial" w:eastAsia="Arial" w:hAnsi="Arial" w:cs="Arial"/>
          <w:b/>
          <w:bCs/>
          <w:color w:val="1B3A5C"/>
          <w:sz w:val="18"/>
          <w:szCs w:val="18"/>
        </w:rPr>
        <w:t xml:space="preserve">Liderazgo:  </w:t>
      </w:r>
      <w:r>
        <w:rPr>
          <w:rFonts w:ascii="Arial" w:eastAsia="Arial" w:hAnsi="Arial" w:cs="Arial"/>
          <w:color w:val="3A3A3A"/>
          <w:sz w:val="18"/>
          <w:szCs w:val="18"/>
        </w:rPr>
        <w:t>Equipos de hasta 48 personas · Remuneración Variable · Gestión del Cambio · Formación de Formadores · Diversidad, Equidad e Inclusión</w:t>
      </w:r>
    </w:p>
    <w:p w14:paraId="0C2DCFD3" w14:textId="77777777" w:rsidR="006508D8" w:rsidRDefault="00000000">
      <w:pPr>
        <w:pBdr>
          <w:bottom w:val="single" w:sz="8" w:space="3" w:color="1B3A5C"/>
        </w:pBdr>
        <w:spacing w:before="260" w:after="70"/>
      </w:pPr>
      <w:r>
        <w:rPr>
          <w:rFonts w:ascii="Arial" w:eastAsia="Arial" w:hAnsi="Arial" w:cs="Arial"/>
          <w:b/>
          <w:bCs/>
          <w:color w:val="1B3A5C"/>
        </w:rPr>
        <w:t>VOLUNTARIADO</w:t>
      </w:r>
    </w:p>
    <w:p w14:paraId="548A8858" w14:textId="77777777" w:rsidR="006508D8" w:rsidRDefault="006508D8">
      <w:pPr>
        <w:spacing w:before="30"/>
      </w:pPr>
    </w:p>
    <w:p w14:paraId="619D759C" w14:textId="77777777" w:rsidR="006508D8" w:rsidRDefault="00000000">
      <w:pPr>
        <w:tabs>
          <w:tab w:val="right" w:pos="9200"/>
        </w:tabs>
        <w:spacing w:after="25"/>
      </w:pPr>
      <w:r>
        <w:rPr>
          <w:rFonts w:ascii="Arial" w:eastAsia="Arial" w:hAnsi="Arial" w:cs="Arial"/>
          <w:b/>
          <w:bCs/>
          <w:color w:val="1B3A5C"/>
          <w:sz w:val="19"/>
          <w:szCs w:val="19"/>
        </w:rPr>
        <w:t>Voluntaria — Hogar San Camilo de Lellis</w:t>
      </w:r>
      <w:r>
        <w:rPr>
          <w:rFonts w:ascii="Arial" w:eastAsia="Arial" w:hAnsi="Arial" w:cs="Arial"/>
          <w:i/>
          <w:iCs/>
          <w:color w:val="666666"/>
          <w:sz w:val="18"/>
          <w:szCs w:val="18"/>
        </w:rPr>
        <w:tab/>
        <w:t>2025</w:t>
      </w:r>
    </w:p>
    <w:p w14:paraId="70B5C553" w14:textId="078B4010" w:rsidR="006508D8" w:rsidRDefault="00000000" w:rsidP="00543495">
      <w:pPr>
        <w:spacing w:after="60"/>
        <w:jc w:val="both"/>
      </w:pPr>
      <w:r>
        <w:rPr>
          <w:rFonts w:ascii="Arial" w:eastAsia="Arial" w:hAnsi="Arial" w:cs="Arial"/>
          <w:i/>
          <w:iCs/>
          <w:color w:val="3A3A3A"/>
          <w:sz w:val="18"/>
          <w:szCs w:val="18"/>
        </w:rPr>
        <w:t>Hogar de niñas con discapacidad | Loja, Ecuador — Alineado a la visión y misión de responsabilidad social de la Fundación FACES Microfinanzas.</w:t>
      </w:r>
    </w:p>
    <w:p w14:paraId="085FF153" w14:textId="77777777" w:rsidR="006508D8" w:rsidRDefault="00000000">
      <w:pPr>
        <w:pBdr>
          <w:bottom w:val="single" w:sz="8" w:space="3" w:color="1B3A5C"/>
        </w:pBdr>
        <w:spacing w:before="260" w:after="70"/>
      </w:pPr>
      <w:r>
        <w:rPr>
          <w:rFonts w:ascii="Arial" w:eastAsia="Arial" w:hAnsi="Arial" w:cs="Arial"/>
          <w:b/>
          <w:bCs/>
          <w:color w:val="1B3A5C"/>
        </w:rPr>
        <w:t>INFORMACIÓN ADICIONAL</w:t>
      </w:r>
    </w:p>
    <w:p w14:paraId="63B9AD7B" w14:textId="77777777" w:rsidR="006508D8" w:rsidRDefault="006508D8">
      <w:pPr>
        <w:spacing w:before="30"/>
      </w:pPr>
    </w:p>
    <w:p w14:paraId="65412797" w14:textId="29212F12" w:rsidR="006508D8" w:rsidRDefault="00000000">
      <w:pPr>
        <w:spacing w:before="30" w:after="30"/>
      </w:pPr>
      <w:r>
        <w:rPr>
          <w:rFonts w:ascii="Arial" w:eastAsia="Arial" w:hAnsi="Arial" w:cs="Arial"/>
          <w:b/>
          <w:bCs/>
          <w:color w:val="1B3A5C"/>
          <w:sz w:val="18"/>
          <w:szCs w:val="18"/>
        </w:rPr>
        <w:t xml:space="preserve">Idiomas: </w:t>
      </w:r>
      <w:proofErr w:type="gramStart"/>
      <w:r>
        <w:rPr>
          <w:rFonts w:ascii="Arial" w:eastAsia="Arial" w:hAnsi="Arial" w:cs="Arial"/>
          <w:color w:val="3A3A3A"/>
          <w:sz w:val="18"/>
          <w:szCs w:val="18"/>
        </w:rPr>
        <w:t>Español</w:t>
      </w:r>
      <w:proofErr w:type="gramEnd"/>
      <w:r>
        <w:rPr>
          <w:rFonts w:ascii="Arial" w:eastAsia="Arial" w:hAnsi="Arial" w:cs="Arial"/>
          <w:color w:val="3A3A3A"/>
          <w:sz w:val="18"/>
          <w:szCs w:val="18"/>
        </w:rPr>
        <w:t xml:space="preserve"> nativo | </w:t>
      </w:r>
      <w:proofErr w:type="gramStart"/>
      <w:r>
        <w:rPr>
          <w:rFonts w:ascii="Arial" w:eastAsia="Arial" w:hAnsi="Arial" w:cs="Arial"/>
          <w:color w:val="3A3A3A"/>
          <w:sz w:val="18"/>
          <w:szCs w:val="18"/>
        </w:rPr>
        <w:t>Inglés</w:t>
      </w:r>
      <w:proofErr w:type="gramEnd"/>
      <w:r>
        <w:rPr>
          <w:rFonts w:ascii="Arial" w:eastAsia="Arial" w:hAnsi="Arial" w:cs="Arial"/>
          <w:color w:val="3A3A3A"/>
          <w:sz w:val="18"/>
          <w:szCs w:val="18"/>
        </w:rPr>
        <w:t xml:space="preserve"> básico (en formación activa)</w:t>
      </w:r>
    </w:p>
    <w:p w14:paraId="0F98B8E1" w14:textId="1A0AE0C2" w:rsidR="006508D8" w:rsidRDefault="00000000">
      <w:pPr>
        <w:spacing w:before="30" w:after="30"/>
      </w:pPr>
      <w:r>
        <w:rPr>
          <w:rFonts w:ascii="Arial" w:eastAsia="Arial" w:hAnsi="Arial" w:cs="Arial"/>
          <w:b/>
          <w:bCs/>
          <w:color w:val="1B3A5C"/>
          <w:sz w:val="18"/>
          <w:szCs w:val="18"/>
        </w:rPr>
        <w:t xml:space="preserve">Disponibilidad: </w:t>
      </w:r>
      <w:r>
        <w:rPr>
          <w:rFonts w:ascii="Arial" w:eastAsia="Arial" w:hAnsi="Arial" w:cs="Arial"/>
          <w:color w:val="3A3A3A"/>
          <w:sz w:val="18"/>
          <w:szCs w:val="18"/>
        </w:rPr>
        <w:t>Inmediata | Presencial / Híbrida / Remota</w:t>
      </w:r>
    </w:p>
    <w:p w14:paraId="70F94E3A" w14:textId="488B3C09" w:rsidR="006508D8" w:rsidRDefault="00000000">
      <w:pPr>
        <w:spacing w:before="30" w:after="30"/>
      </w:pPr>
      <w:r>
        <w:rPr>
          <w:rFonts w:ascii="Arial" w:eastAsia="Arial" w:hAnsi="Arial" w:cs="Arial"/>
          <w:b/>
          <w:bCs/>
          <w:color w:val="1B3A5C"/>
          <w:sz w:val="18"/>
          <w:szCs w:val="18"/>
        </w:rPr>
        <w:t xml:space="preserve">C.I.: </w:t>
      </w:r>
      <w:r>
        <w:rPr>
          <w:rFonts w:ascii="Arial" w:eastAsia="Arial" w:hAnsi="Arial" w:cs="Arial"/>
          <w:color w:val="3A3A3A"/>
          <w:sz w:val="18"/>
          <w:szCs w:val="18"/>
        </w:rPr>
        <w:t>1103591648 | Fecha de nacimiento: 3 de agosto de 1980</w:t>
      </w:r>
    </w:p>
    <w:p w14:paraId="273AF3A5" w14:textId="77777777" w:rsidR="006508D8" w:rsidRDefault="006508D8">
      <w:pPr>
        <w:spacing w:before="80"/>
      </w:pPr>
    </w:p>
    <w:p w14:paraId="1BA1BC10" w14:textId="0D69FDDE" w:rsidR="006508D8" w:rsidRDefault="00000000">
      <w:pPr>
        <w:jc w:val="center"/>
      </w:pPr>
      <w:r>
        <w:rPr>
          <w:rFonts w:ascii="Arial" w:eastAsia="Arial" w:hAnsi="Arial" w:cs="Arial"/>
          <w:i/>
          <w:iCs/>
          <w:color w:val="666666"/>
          <w:sz w:val="16"/>
          <w:szCs w:val="16"/>
        </w:rPr>
        <w:t xml:space="preserve">Loja, Ecuador — </w:t>
      </w:r>
      <w:proofErr w:type="gramStart"/>
      <w:r>
        <w:rPr>
          <w:rFonts w:ascii="Arial" w:eastAsia="Arial" w:hAnsi="Arial" w:cs="Arial"/>
          <w:i/>
          <w:iCs/>
          <w:color w:val="666666"/>
          <w:sz w:val="16"/>
          <w:szCs w:val="16"/>
        </w:rPr>
        <w:t>Abril</w:t>
      </w:r>
      <w:proofErr w:type="gramEnd"/>
      <w:r>
        <w:rPr>
          <w:rFonts w:ascii="Arial" w:eastAsia="Arial" w:hAnsi="Arial" w:cs="Arial"/>
          <w:i/>
          <w:iCs/>
          <w:color w:val="666666"/>
          <w:sz w:val="16"/>
          <w:szCs w:val="16"/>
        </w:rPr>
        <w:t xml:space="preserve"> de 2026</w:t>
      </w:r>
    </w:p>
    <w:sectPr w:rsidR="006508D8">
      <w:pgSz w:w="11906" w:h="16838"/>
      <w:pgMar w:top="900" w:right="1000" w:bottom="900" w:left="10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2796C"/>
    <w:multiLevelType w:val="hybridMultilevel"/>
    <w:tmpl w:val="EBCCAC7E"/>
    <w:lvl w:ilvl="0" w:tplc="CB703B12">
      <w:start w:val="1"/>
      <w:numFmt w:val="bullet"/>
      <w:lvlText w:val="–"/>
      <w:lvlJc w:val="left"/>
      <w:pPr>
        <w:ind w:left="440" w:hanging="220"/>
      </w:pPr>
    </w:lvl>
    <w:lvl w:ilvl="1" w:tplc="92649138">
      <w:numFmt w:val="decimal"/>
      <w:lvlText w:val=""/>
      <w:lvlJc w:val="left"/>
    </w:lvl>
    <w:lvl w:ilvl="2" w:tplc="A516B874">
      <w:numFmt w:val="decimal"/>
      <w:lvlText w:val=""/>
      <w:lvlJc w:val="left"/>
    </w:lvl>
    <w:lvl w:ilvl="3" w:tplc="BEB228F2">
      <w:numFmt w:val="decimal"/>
      <w:lvlText w:val=""/>
      <w:lvlJc w:val="left"/>
    </w:lvl>
    <w:lvl w:ilvl="4" w:tplc="13364BB2">
      <w:numFmt w:val="decimal"/>
      <w:lvlText w:val=""/>
      <w:lvlJc w:val="left"/>
    </w:lvl>
    <w:lvl w:ilvl="5" w:tplc="42C60988">
      <w:numFmt w:val="decimal"/>
      <w:lvlText w:val=""/>
      <w:lvlJc w:val="left"/>
    </w:lvl>
    <w:lvl w:ilvl="6" w:tplc="F0604346">
      <w:numFmt w:val="decimal"/>
      <w:lvlText w:val=""/>
      <w:lvlJc w:val="left"/>
    </w:lvl>
    <w:lvl w:ilvl="7" w:tplc="29A62626">
      <w:numFmt w:val="decimal"/>
      <w:lvlText w:val=""/>
      <w:lvlJc w:val="left"/>
    </w:lvl>
    <w:lvl w:ilvl="8" w:tplc="DD2EAB76">
      <w:numFmt w:val="decimal"/>
      <w:lvlText w:val=""/>
      <w:lvlJc w:val="left"/>
    </w:lvl>
  </w:abstractNum>
  <w:abstractNum w:abstractNumId="1" w15:restartNumberingAfterBreak="0">
    <w:nsid w:val="7E1F36F3"/>
    <w:multiLevelType w:val="hybridMultilevel"/>
    <w:tmpl w:val="578C2CA6"/>
    <w:lvl w:ilvl="0" w:tplc="3906F3E2">
      <w:start w:val="1"/>
      <w:numFmt w:val="bullet"/>
      <w:lvlText w:val="●"/>
      <w:lvlJc w:val="left"/>
      <w:pPr>
        <w:ind w:left="720" w:hanging="360"/>
      </w:pPr>
    </w:lvl>
    <w:lvl w:ilvl="1" w:tplc="A71EA0F6">
      <w:start w:val="1"/>
      <w:numFmt w:val="bullet"/>
      <w:lvlText w:val="○"/>
      <w:lvlJc w:val="left"/>
      <w:pPr>
        <w:ind w:left="1440" w:hanging="360"/>
      </w:pPr>
    </w:lvl>
    <w:lvl w:ilvl="2" w:tplc="8C18F514">
      <w:start w:val="1"/>
      <w:numFmt w:val="bullet"/>
      <w:lvlText w:val="■"/>
      <w:lvlJc w:val="left"/>
      <w:pPr>
        <w:ind w:left="2160" w:hanging="360"/>
      </w:pPr>
    </w:lvl>
    <w:lvl w:ilvl="3" w:tplc="C650973E">
      <w:start w:val="1"/>
      <w:numFmt w:val="bullet"/>
      <w:lvlText w:val="●"/>
      <w:lvlJc w:val="left"/>
      <w:pPr>
        <w:ind w:left="2880" w:hanging="360"/>
      </w:pPr>
    </w:lvl>
    <w:lvl w:ilvl="4" w:tplc="9E34ADB6">
      <w:start w:val="1"/>
      <w:numFmt w:val="bullet"/>
      <w:lvlText w:val="○"/>
      <w:lvlJc w:val="left"/>
      <w:pPr>
        <w:ind w:left="3600" w:hanging="360"/>
      </w:pPr>
    </w:lvl>
    <w:lvl w:ilvl="5" w:tplc="B26A13AE">
      <w:start w:val="1"/>
      <w:numFmt w:val="bullet"/>
      <w:lvlText w:val="■"/>
      <w:lvlJc w:val="left"/>
      <w:pPr>
        <w:ind w:left="4320" w:hanging="360"/>
      </w:pPr>
    </w:lvl>
    <w:lvl w:ilvl="6" w:tplc="44B8A354">
      <w:start w:val="1"/>
      <w:numFmt w:val="bullet"/>
      <w:lvlText w:val="●"/>
      <w:lvlJc w:val="left"/>
      <w:pPr>
        <w:ind w:left="5040" w:hanging="360"/>
      </w:pPr>
    </w:lvl>
    <w:lvl w:ilvl="7" w:tplc="560EC260">
      <w:start w:val="1"/>
      <w:numFmt w:val="bullet"/>
      <w:lvlText w:val="●"/>
      <w:lvlJc w:val="left"/>
      <w:pPr>
        <w:ind w:left="5760" w:hanging="360"/>
      </w:pPr>
    </w:lvl>
    <w:lvl w:ilvl="8" w:tplc="6680A510">
      <w:start w:val="1"/>
      <w:numFmt w:val="bullet"/>
      <w:lvlText w:val="●"/>
      <w:lvlJc w:val="left"/>
      <w:pPr>
        <w:ind w:left="6480" w:hanging="360"/>
      </w:pPr>
    </w:lvl>
  </w:abstractNum>
  <w:num w:numId="1" w16cid:durableId="1121534027">
    <w:abstractNumId w:val="1"/>
    <w:lvlOverride w:ilvl="0">
      <w:startOverride w:val="1"/>
    </w:lvlOverride>
  </w:num>
  <w:num w:numId="2" w16cid:durableId="20132917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D8"/>
    <w:rsid w:val="00543495"/>
    <w:rsid w:val="006508D8"/>
    <w:rsid w:val="008825A2"/>
    <w:rsid w:val="00ED4B8E"/>
    <w:rsid w:val="00F9062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76B1"/>
  <w15:docId w15:val="{BEEEC8CB-BF68-4A64-A539-B16CB9E1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1008</Words>
  <Characters>5547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PATRICIA SOLEDAD FLORES SANCHEZ</cp:lastModifiedBy>
  <cp:revision>4</cp:revision>
  <dcterms:created xsi:type="dcterms:W3CDTF">2026-05-08T03:02:00Z</dcterms:created>
  <dcterms:modified xsi:type="dcterms:W3CDTF">2026-05-08T03:04:00Z</dcterms:modified>
</cp:coreProperties>
</file>